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15249E">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附件3</w:t>
      </w:r>
    </w:p>
    <w:p w14:paraId="52D8975C">
      <w:pPr>
        <w:rPr>
          <w:rFonts w:hint="eastAsia" w:ascii="宋体" w:hAnsi="宋体" w:eastAsia="宋体" w:cs="宋体"/>
          <w:b/>
          <w:bCs/>
          <w:color w:val="auto"/>
          <w:sz w:val="36"/>
          <w:szCs w:val="36"/>
          <w:lang w:val="en-US" w:eastAsia="zh-CN"/>
        </w:rPr>
      </w:pPr>
    </w:p>
    <w:p w14:paraId="544D485D">
      <w:pPr>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hint="eastAsia" w:ascii="方正小标宋_GBK" w:hAnsi="方正小标宋_GBK" w:eastAsia="方正小标宋_GBK" w:cs="方正小标宋_GBK"/>
          <w:b w:val="0"/>
          <w:bCs w:val="0"/>
          <w:color w:val="auto"/>
          <w:sz w:val="44"/>
          <w:szCs w:val="44"/>
          <w:lang w:val="en-US" w:eastAsia="zh-CN"/>
        </w:rPr>
      </w:pPr>
      <w:r>
        <w:rPr>
          <w:rFonts w:hint="eastAsia" w:ascii="方正小标宋_GBK" w:hAnsi="方正小标宋_GBK" w:eastAsia="方正小标宋_GBK" w:cs="方正小标宋_GBK"/>
          <w:b w:val="0"/>
          <w:bCs w:val="0"/>
          <w:color w:val="auto"/>
          <w:sz w:val="44"/>
          <w:szCs w:val="44"/>
          <w:lang w:val="en-US" w:eastAsia="zh-CN"/>
        </w:rPr>
        <w:t>2026年广东省“最美科技工作者”</w:t>
      </w:r>
    </w:p>
    <w:p w14:paraId="3F7C1FA6">
      <w:pPr>
        <w:keepNext w:val="0"/>
        <w:keepLines w:val="0"/>
        <w:pageBreakBefore w:val="0"/>
        <w:widowControl w:val="0"/>
        <w:kinsoku/>
        <w:wordWrap/>
        <w:overflowPunct/>
        <w:topLinePunct w:val="0"/>
        <w:autoSpaceDE/>
        <w:autoSpaceDN/>
        <w:bidi w:val="0"/>
        <w:adjustRightInd/>
        <w:snapToGrid/>
        <w:spacing w:line="760" w:lineRule="exact"/>
        <w:jc w:val="center"/>
        <w:textAlignment w:val="auto"/>
        <w:rPr>
          <w:rFonts w:hint="eastAsia" w:ascii="方正小标宋_GBK" w:hAnsi="方正小标宋_GBK" w:eastAsia="方正小标宋_GBK" w:cs="方正小标宋_GBK"/>
          <w:b w:val="0"/>
          <w:bCs w:val="0"/>
          <w:color w:val="auto"/>
          <w:sz w:val="44"/>
          <w:szCs w:val="44"/>
          <w:lang w:val="en-US" w:eastAsia="zh-CN"/>
        </w:rPr>
      </w:pPr>
      <w:r>
        <w:rPr>
          <w:rFonts w:hint="eastAsia" w:ascii="方正小标宋_GBK" w:hAnsi="方正小标宋_GBK" w:eastAsia="方正小标宋_GBK" w:cs="方正小标宋_GBK"/>
          <w:b w:val="0"/>
          <w:bCs w:val="0"/>
          <w:color w:val="auto"/>
          <w:sz w:val="44"/>
          <w:szCs w:val="44"/>
          <w:lang w:val="en-US" w:eastAsia="zh-CN"/>
        </w:rPr>
        <w:t>推荐人选简要事迹规范</w:t>
      </w:r>
    </w:p>
    <w:p w14:paraId="77C75899">
      <w:pPr>
        <w:spacing w:line="580" w:lineRule="exact"/>
        <w:ind w:firstLine="640" w:firstLineChars="200"/>
        <w:jc w:val="both"/>
        <w:rPr>
          <w:rFonts w:hint="eastAsia" w:ascii="仿宋_GB2312" w:hAnsi="仿宋_GB2312" w:eastAsia="仿宋_GB2312" w:cs="仿宋_GB2312"/>
          <w:b w:val="0"/>
          <w:bCs w:val="0"/>
          <w:color w:val="auto"/>
          <w:sz w:val="32"/>
          <w:szCs w:val="32"/>
          <w:lang w:val="en-US" w:eastAsia="zh-CN"/>
        </w:rPr>
      </w:pPr>
    </w:p>
    <w:p w14:paraId="763A4BF7">
      <w:pPr>
        <w:keepNext w:val="0"/>
        <w:keepLines w:val="0"/>
        <w:pageBreakBefore w:val="0"/>
        <w:widowControl/>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简要事迹字数约500字，包括基本信息、曾获荣誉、事迹介绍3个部分。简要事迹材料一律用第三人称叙述，既要有生动感人的事迹，又要有准确的数据为依据；简要事迹和推荐表中主要事迹的各种数据要统一；确保不弄虚作假、不含混不清、不夸大其词、不包装涂粉、不人为拔高；做到主题突出、事迹真实、表述清晰、数据准确、格式规范、文字严谨。</w:t>
      </w:r>
    </w:p>
    <w:p w14:paraId="046BD0EB">
      <w:pPr>
        <w:keepNext w:val="0"/>
        <w:keepLines w:val="0"/>
        <w:pageBreakBefore w:val="0"/>
        <w:widowControl/>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1.基本信息：包括姓名、所在单位和职务、职称、主要研究领域。</w:t>
      </w:r>
    </w:p>
    <w:p w14:paraId="4D108195">
      <w:pPr>
        <w:keepNext w:val="0"/>
        <w:keepLines w:val="0"/>
        <w:pageBreakBefore w:val="0"/>
        <w:widowControl/>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2.曾获荣誉：列举推荐人选所获省部级及以上重要荣誉，不需注明授予单位和时间。</w:t>
      </w:r>
    </w:p>
    <w:p w14:paraId="280F0712">
      <w:pPr>
        <w:keepNext w:val="0"/>
        <w:keepLines w:val="0"/>
        <w:pageBreakBefore w:val="0"/>
        <w:widowControl/>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3.事迹介绍：对推荐人选事迹的高度凝练，需紧扣推荐领域，叙述其主要事迹、所作贡献和社会影响，突出弘扬科学家精神内容。主要事迹内容要与推荐领域相符。</w:t>
      </w:r>
    </w:p>
    <w:p w14:paraId="1CB831FA">
      <w:pPr>
        <w:keepNext w:val="0"/>
        <w:keepLines w:val="0"/>
        <w:pageBreakBefore w:val="0"/>
        <w:widowControl/>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各单位及候选人要高度重视，参考以下简要事迹范文认真做好事迹材料撰写工作。</w:t>
      </w:r>
    </w:p>
    <w:p w14:paraId="56ABFC2C">
      <w:pPr>
        <w:spacing w:line="580" w:lineRule="exact"/>
        <w:ind w:firstLine="640" w:firstLineChars="200"/>
        <w:jc w:val="both"/>
        <w:rPr>
          <w:rFonts w:hint="eastAsia" w:ascii="仿宋_GB2312" w:hAnsi="仿宋_GB2312" w:eastAsia="仿宋_GB2312" w:cs="仿宋_GB2312"/>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一、面向世界科技前沿（突出前沿领域和基础研究）</w:t>
      </w:r>
    </w:p>
    <w:p w14:paraId="579CF113">
      <w:pPr>
        <w:keepNext w:val="0"/>
        <w:keepLines w:val="0"/>
        <w:pageBreakBefore w:val="0"/>
        <w:widowControl/>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XXX，XX中心主任、研究员，博士生导师，长期从事中微子实验物理、探测器研制及大科学装置建设，主持多项国家重大科技基础设施项目，曾获中科院杰出科技成就奖、侨都最美科技工作者等。​</w:t>
      </w:r>
    </w:p>
    <w:p w14:paraId="71967310">
      <w:pPr>
        <w:keepNext w:val="0"/>
        <w:keepLines w:val="0"/>
        <w:pageBreakBefore w:val="0"/>
        <w:widowControl/>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XXX长期致力于大科学装置建设与前沿物理探索。作为大亚湾反应堆中微子实验的核心骨干，他带领团队突破关键技术瓶颈，创新性地采用实时Linux系统替代传统方案，大幅降低实验成本并提升运行效率，荣获2017年国家自然科学一等奖和全国创新争先奖。该实验成功测得的中微子振荡模式还入选Science杂志2012年度十大科学突破，使我国中微子研究实现从跟跑到并跑的历史性跨越。在XX中微子实验这一重大科技基础设施建设中，XXX既担任科学研究的带头人，又肩负工程管理的重任。他坚持“精益求精、万无一失”的工作理念，常年深入地下700米的施工现场，在高温、高湿、高噪音的极端环境下坚守一线。面对复杂的工程挑战，他带领团队连续4个月实施“每浇必查”的质量管控措施，在38℃的高温环境中严格把关每一道施工工序，确保这一大科学装置的建设质量。</w:t>
      </w:r>
    </w:p>
    <w:p w14:paraId="3F83834B">
      <w:pPr>
        <w:keepNext w:val="0"/>
        <w:keepLines w:val="0"/>
        <w:pageBreakBefore w:val="0"/>
        <w:widowControl/>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color w:val="auto"/>
          <w:sz w:val="32"/>
          <w:szCs w:val="32"/>
          <w:lang w:val="en-US" w:eastAsia="zh-CN"/>
        </w:rPr>
        <w:t>他常说：“大科学工程容不得半点马虎，必须多盯一盯、多想一想。”正是这种严谨求实的态度和追求卓越的精神，推动我国中微子研究不断取得突破性进展。</w:t>
      </w:r>
    </w:p>
    <w:p w14:paraId="75A2AF60">
      <w:pPr>
        <w:spacing w:line="580" w:lineRule="exact"/>
        <w:ind w:firstLine="640" w:firstLineChars="200"/>
        <w:jc w:val="both"/>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二、面向经济主战场（突出科技成果转化应用和社会服务）</w:t>
      </w:r>
    </w:p>
    <w:p w14:paraId="2941EC2E">
      <w:pPr>
        <w:keepNext w:val="0"/>
        <w:keepLines w:val="0"/>
        <w:pageBreakBefore w:val="0"/>
        <w:widowControl/>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XXX，XX公司首席科学家、教授，博士生导师。长期致力于动物疫病防控技术研究和疫苗产业化开发，主持完成多项国家级科研项目，曾获中国青年科技奖、光华工程科技奖、广东省科技进步奖一等奖等。</w:t>
      </w:r>
    </w:p>
    <w:p w14:paraId="575FB441">
      <w:pPr>
        <w:keepNext w:val="0"/>
        <w:keepLines w:val="0"/>
        <w:pageBreakBefore w:val="0"/>
        <w:widowControl/>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XXX专注于解决畜禽疫病防控关键技术难题。她带领团队突破传统疫苗生产工艺落后、质量不稳定等技术瓶颈，建立了完整的禽流感监测预警和疫苗开发技术体系。通过创新抗原大规模制备工艺，成功研制出新型禽流感、猪蓝耳病等系列疫苗及非洲猪瘟诊断试剂盒，获得发明专利106件，开发新生物制品30个，相关技术成果产业化累计创造经济效益238亿元。在2004年禽流感疫情防控中，XXX临危受命，带领团队昼夜攻关90天，冒着感染风险快速实现疫苗产业化生产，为国家提供了近60亿羽份禽流感疫苗，为疫情防控提供了关键技术支持。近年来，XXX积极投身乡村振兴战略，深入18个镇33个自然村开展科技帮扶。通过“百千万工程”实施，她将疫病防控方案送到田间地头，帮助农民增收致富。</w:t>
      </w:r>
    </w:p>
    <w:p w14:paraId="4D05F850">
      <w:pPr>
        <w:keepNext w:val="0"/>
        <w:keepLines w:val="0"/>
        <w:pageBreakBefore w:val="0"/>
        <w:widowControl/>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XXX始终秉持</w:t>
      </w:r>
      <w:r>
        <w:rPr>
          <w:rFonts w:hint="eastAsia" w:ascii="仿宋_GB2312" w:hAnsi="仿宋_GB2312" w:eastAsia="仿宋_GB2312" w:cs="仿宋_GB2312"/>
          <w:color w:val="auto"/>
          <w:sz w:val="32"/>
          <w:szCs w:val="32"/>
        </w:rPr>
        <w:t>科技成果转化应用</w:t>
      </w:r>
      <w:r>
        <w:rPr>
          <w:rFonts w:hint="eastAsia" w:ascii="仿宋_GB2312" w:hAnsi="仿宋_GB2312" w:eastAsia="仿宋_GB2312" w:cs="仿宋_GB2312"/>
          <w:color w:val="auto"/>
          <w:sz w:val="32"/>
          <w:szCs w:val="32"/>
          <w:lang w:val="en-US" w:eastAsia="zh-CN"/>
        </w:rPr>
        <w:t>的理念，以十年磨一剑的韧劲攻克技术难关，生动诠释了新时代科学家爱国奉献、服务人民的崇高精神。</w:t>
      </w:r>
    </w:p>
    <w:p w14:paraId="1065ED52">
      <w:pPr>
        <w:spacing w:line="580" w:lineRule="exact"/>
        <w:ind w:firstLine="640" w:firstLineChars="200"/>
        <w:jc w:val="both"/>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三、面向国家重大需求（突出突破关键核心技术）</w:t>
      </w:r>
    </w:p>
    <w:p w14:paraId="06137FAA">
      <w:pPr>
        <w:spacing w:line="580" w:lineRule="exact"/>
        <w:ind w:firstLine="640"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XXX，教授级高级工程师，XX总工程师，主要从事轨道交通工程设计和科研工作，享受国务院政府特殊津贴。曾获国家科技进步奖、全国发明展览会金奖、全国优秀工程勘察设计奖、中国土木工程詹天佑奖等多项奖励。</w:t>
      </w:r>
    </w:p>
    <w:p w14:paraId="006141BF">
      <w:pPr>
        <w:spacing w:line="580" w:lineRule="exact"/>
        <w:ind w:firstLine="640"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他带领团队迎难而上，在溶洞强烈发育城区地铁建设、隧道近距离穿越高铁等技术难题上取得重大突破。他坚持自主创新，研发的轨道减振降噪技术显著提升了地铁运营舒适度；创建的轨道交通绿色建造关键技术体系大幅降低了地铁建设能耗和碳排放。2004年春节期间，正值广州地铁3号线建设关键期，作为项目设计总体负责人，他放弃与家人团聚，扎根林和西站施工现场第一线。通过大量实地勘察和反复试验论证，创造性提出“多导洞平行作业法”，用科学方法攻克了路面沉降控制难题。2021年，他带领团队成功设计我国首条最高时速160公里的全地下市域快线——广州地铁18号线。该项目创新性地建立了“地铁+城际”跨制式融合的技术标准体系，填补了我国轨道交通网络层级体系的技术空白。他注重团队协作和人才培养，为轨道交通事业培养了一大批青年科技人才。</w:t>
      </w:r>
    </w:p>
    <w:p w14:paraId="1E67EEDB">
      <w:pPr>
        <w:spacing w:line="580" w:lineRule="exact"/>
        <w:ind w:firstLine="640" w:firstLineChars="200"/>
        <w:jc w:val="both"/>
        <w:rPr>
          <w:rFonts w:hint="eastAsia" w:ascii="仿宋_GB2312" w:hAnsi="仿宋_GB2312" w:eastAsia="仿宋_GB2312" w:cs="仿宋_GB2312"/>
          <w:kern w:val="0"/>
          <w:sz w:val="32"/>
          <w:szCs w:val="32"/>
        </w:rPr>
      </w:pPr>
      <w:r>
        <w:rPr>
          <w:rFonts w:hint="eastAsia" w:ascii="仿宋_GB2312" w:hAnsi="仿宋_GB2312" w:eastAsia="仿宋_GB2312" w:cs="仿宋_GB2312"/>
          <w:color w:val="auto"/>
          <w:sz w:val="32"/>
          <w:szCs w:val="32"/>
          <w:lang w:val="en-US" w:eastAsia="zh-CN"/>
        </w:rPr>
        <w:t>他常说：“科技创新没有终点，我们要始终保持对科学的敬畏之心。”这种淡泊名利、潜心研究的奉献精神，正是新时代科学家精神的生动体现。</w:t>
      </w:r>
      <w:r>
        <w:rPr>
          <w:rFonts w:hint="eastAsia" w:ascii="仿宋_GB2312" w:hAnsi="仿宋_GB2312" w:eastAsia="仿宋_GB2312" w:cs="仿宋_GB2312"/>
          <w:kern w:val="0"/>
          <w:sz w:val="32"/>
          <w:szCs w:val="32"/>
        </w:rPr>
        <w:t xml:space="preserve"> </w:t>
      </w:r>
    </w:p>
    <w:p w14:paraId="79AF35A2">
      <w:pPr>
        <w:spacing w:line="580" w:lineRule="exact"/>
        <w:ind w:firstLine="640" w:firstLineChars="200"/>
        <w:jc w:val="both"/>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kern w:val="0"/>
          <w:sz w:val="32"/>
          <w:szCs w:val="32"/>
          <w:shd w:val="clear" w:color="auto" w:fill="auto"/>
          <w:lang w:val="en-US" w:eastAsia="zh-CN" w:bidi="ar"/>
        </w:rPr>
        <w:t>四、面向人民生命健康（突出保护人民群众生命安全和身体健康）</w:t>
      </w:r>
    </w:p>
    <w:p w14:paraId="5542A76E">
      <w:pPr>
        <w:spacing w:line="580" w:lineRule="exact"/>
        <w:ind w:firstLine="640"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XXX，XX主任、教授、主任医师，在眼病防治和人工智能诊疗领域深耕不辍，迄今已发表学术论著200余篇，授权国内外专利和软著50余项，荣获吴文俊人工智能科技进步奖一等奖、首届钟南山青年科技创新奖等多项殊荣。</w:t>
      </w:r>
    </w:p>
    <w:p w14:paraId="66AD49EB">
      <w:pPr>
        <w:spacing w:line="580" w:lineRule="exact"/>
        <w:ind w:firstLine="640" w:firstLineChars="200"/>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为解决先天性白内障治疗这一世界难题，他十年如一日潜心研究，突破性地研发内源性干细胞治疗新方法，相关成果发表在Nature杂志。针对青少年近视高发的社会痛点，他带领团队研发全球首个近视智能预测系统，开创基于绿化和环境的近视群体防控新模式。为解决医疗资源分布不均的难题，他带领团队自主研发系列眼病智能诊疗技术、5G智能巡诊车和眼科手术机器人，构建智能新型“三级诊疗”模式。为验证技术效果，他多次深入边疆地区实地调研，克服高原反应等困难，将优质眼科服务送到最需要的群众身边。目前这些创新成果已辐射全国及“一带一路”沿线国家逾千家医疗机构，惠及千万群众。</w:t>
      </w:r>
    </w:p>
    <w:p w14:paraId="0C3F2067">
      <w:pPr>
        <w:spacing w:line="580" w:lineRule="exact"/>
        <w:ind w:firstLine="640" w:firstLineChars="200"/>
        <w:jc w:val="both"/>
        <w:rPr>
          <w:rFonts w:hint="eastAsia" w:ascii="仿宋_GB2312" w:eastAsia="仿宋_GB2312"/>
        </w:rPr>
      </w:pPr>
      <w:r>
        <w:rPr>
          <w:rFonts w:hint="eastAsia" w:ascii="仿宋_GB2312" w:hAnsi="仿宋_GB2312" w:eastAsia="仿宋_GB2312" w:cs="仿宋_GB2312"/>
          <w:color w:val="auto"/>
          <w:sz w:val="32"/>
          <w:szCs w:val="32"/>
          <w:lang w:val="en-US" w:eastAsia="zh-CN"/>
        </w:rPr>
        <w:t>在科研攻关中，他坚持传帮带的育人理念，培养了一大批兼具医学素养和工程思维的复合型人才。他常说：“作为医生，我们要守得住</w:t>
      </w:r>
      <w:r>
        <w:rPr>
          <w:rFonts w:hint="eastAsia" w:ascii="仿宋_GB2312" w:hAnsi="仿宋_GB2312" w:eastAsia="仿宋_GB2312" w:cs="仿宋_GB2312"/>
          <w:color w:val="auto"/>
          <w:sz w:val="32"/>
          <w:szCs w:val="32"/>
        </w:rPr>
        <w:t>保护人民群众生命安全和身体健康</w:t>
      </w:r>
      <w:r>
        <w:rPr>
          <w:rFonts w:hint="eastAsia" w:ascii="仿宋_GB2312" w:hAnsi="仿宋_GB2312" w:eastAsia="仿宋_GB2312" w:cs="仿宋_GB2312"/>
          <w:color w:val="auto"/>
          <w:sz w:val="32"/>
          <w:szCs w:val="32"/>
          <w:lang w:eastAsia="zh-CN"/>
        </w:rPr>
        <w:t>初心，</w:t>
      </w:r>
      <w:r>
        <w:rPr>
          <w:rFonts w:hint="eastAsia" w:ascii="仿宋_GB2312" w:hAnsi="仿宋_GB2312" w:eastAsia="仿宋_GB2312" w:cs="仿宋_GB2312"/>
          <w:color w:val="auto"/>
          <w:sz w:val="32"/>
          <w:szCs w:val="32"/>
          <w:lang w:val="en-US" w:eastAsia="zh-CN"/>
        </w:rPr>
        <w:t>耐得住寂寞。”这种甘为人梯、奖掖后学的精神，深深感染着身边的每一位科研工作者。</w:t>
      </w:r>
    </w:p>
    <w:p w14:paraId="725753AB">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2000000000000000000"/>
    <w:charset w:val="86"/>
    <w:family w:val="auto"/>
    <w:pitch w:val="default"/>
    <w:sig w:usb0="00000000" w:usb1="00000000" w:usb2="00000000" w:usb3="00000000" w:csb0="00040000" w:csb1="00000000"/>
  </w:font>
  <w:font w:name="小标宋">
    <w:altName w:val="方正小标宋简体"/>
    <w:panose1 w:val="00000000000000000000"/>
    <w:charset w:val="00"/>
    <w:family w:val="auto"/>
    <w:pitch w:val="default"/>
    <w:sig w:usb0="00000000" w:usb1="00000000" w:usb2="00000000" w:usb3="00000000" w:csb0="00040001" w:csb1="00000000"/>
  </w:font>
  <w:font w:name="方正楷体简体">
    <w:altName w:val="楷体_GB2312"/>
    <w:panose1 w:val="03000509000000000000"/>
    <w:charset w:val="86"/>
    <w:family w:val="auto"/>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Arial Unicode MS">
    <w:panose1 w:val="020B0604020202020204"/>
    <w:charset w:val="86"/>
    <w:family w:val="auto"/>
    <w:pitch w:val="default"/>
    <w:sig w:usb0="FFFFFFFF" w:usb1="E9FFFFFF" w:usb2="0000003F" w:usb3="00000000" w:csb0="603F01FF" w:csb1="FFFF0000"/>
  </w:font>
  <w:font w:name="KSOF51D5AD36">
    <w:panose1 w:val="020B0604020202020204"/>
    <w:charset w:val="86"/>
    <w:family w:val="auto"/>
    <w:pitch w:val="default"/>
    <w:sig w:usb0="00000001" w:usb1="00000000" w:usb2="00000000"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3A2524"/>
    <w:rsid w:val="11955682"/>
    <w:rsid w:val="11A16A45"/>
    <w:rsid w:val="1C3A2524"/>
    <w:rsid w:val="4BA95F1B"/>
    <w:rsid w:val="55A25EB5"/>
    <w:rsid w:val="5A8E4C59"/>
    <w:rsid w:val="66F42A08"/>
    <w:rsid w:val="6FF156B3"/>
    <w:rsid w:val="78925B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adjustRightInd w:val="0"/>
    </w:pPr>
    <w:rPr>
      <w:rFonts w:hint="eastAsia" w:ascii="Times New Roman" w:hAnsi="Times New Roman" w:eastAsia="宋体" w:cs="Times New Roman"/>
      <w:sz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1"/>
    <w:pPr>
      <w:spacing w:beforeLines="0" w:afterLines="0"/>
      <w:ind w:left="134"/>
    </w:pPr>
    <w:rPr>
      <w:rFonts w:hint="eastAsia" w:ascii="仿宋" w:eastAsia="仿宋"/>
      <w:sz w:val="32"/>
    </w:rPr>
  </w:style>
  <w:style w:type="paragraph" w:styleId="3">
    <w:name w:val="footer"/>
    <w:basedOn w:val="1"/>
    <w:unhideWhenUsed/>
    <w:uiPriority w:val="99"/>
    <w:pPr>
      <w:tabs>
        <w:tab w:val="center" w:pos="4153"/>
        <w:tab w:val="right" w:pos="8306"/>
      </w:tabs>
      <w:snapToGrid w:val="0"/>
      <w:spacing w:beforeLines="0" w:afterLines="0"/>
    </w:pPr>
    <w:rPr>
      <w:rFonts w:hint="eastAsia"/>
      <w:sz w:val="18"/>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2026-06-16T03:22:00Z</dcterms:created>
  <dc:creator>小Tai～</dc:creator>
  <cp:lastModifiedBy>小Tai～</cp:lastModifiedBy>
  <dcterms:modified xsi:type="dcterms:W3CDTF">2026-06-16T03:24:56Z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E2C1846640B34342BE0AB842AAE8093A_13</vt:lpwstr>
  </property>
  <property fmtid="{D5CDD505-2E9C-101B-9397-08002B2CF9AE}" pid="4" name="KSOTemplateDocerSaveRecord">
    <vt:lpwstr>eyJoZGlkIjoiNWExM2FlYTJkZDJlNzEwYWQzNDJiODQ3ZGE5OWMzYjAiLCJ1c2VySWQiOiIyNTQ1ODcxNjQifQ==</vt:lpwstr>
  </property>
</Properties>
</file>